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0BB14" w14:textId="77777777" w:rsidR="00D84405" w:rsidRPr="003D200B" w:rsidRDefault="00D84405" w:rsidP="00D84405">
      <w:pPr>
        <w:spacing w:after="0" w:line="240" w:lineRule="auto"/>
        <w:jc w:val="center"/>
        <w:rPr>
          <w:rFonts w:cstheme="minorHAnsi"/>
          <w:b/>
          <w:color w:val="000000"/>
        </w:rPr>
      </w:pPr>
      <w:r w:rsidRPr="003D200B">
        <w:rPr>
          <w:rFonts w:cstheme="minorHAnsi"/>
          <w:b/>
          <w:color w:val="000000"/>
        </w:rPr>
        <w:t xml:space="preserve">SUPPORT LETTER </w:t>
      </w:r>
      <w:r w:rsidRPr="00295D33">
        <w:rPr>
          <w:rFonts w:cstheme="minorHAnsi"/>
          <w:b/>
          <w:color w:val="000000"/>
        </w:rPr>
        <w:t xml:space="preserve">SB 380 </w:t>
      </w:r>
      <w:r>
        <w:rPr>
          <w:rFonts w:cstheme="minorHAnsi"/>
          <w:b/>
          <w:color w:val="000000"/>
        </w:rPr>
        <w:t>(</w:t>
      </w:r>
      <w:r w:rsidRPr="00295D33">
        <w:rPr>
          <w:rFonts w:cstheme="minorHAnsi"/>
          <w:b/>
          <w:color w:val="000000"/>
        </w:rPr>
        <w:t>Limon</w:t>
      </w:r>
      <w:r>
        <w:rPr>
          <w:rFonts w:cstheme="minorHAnsi"/>
          <w:b/>
          <w:color w:val="000000"/>
        </w:rPr>
        <w:t xml:space="preserve">) </w:t>
      </w:r>
      <w:r w:rsidRPr="003D200B">
        <w:rPr>
          <w:rFonts w:cstheme="minorHAnsi"/>
          <w:b/>
          <w:color w:val="000000"/>
        </w:rPr>
        <w:t>Child Care Rate Reform &amp; Suspension of Family Fees</w:t>
      </w:r>
    </w:p>
    <w:p w14:paraId="2695AE55" w14:textId="77777777" w:rsidR="00D84405" w:rsidRDefault="00D84405" w:rsidP="00D84405">
      <w:pPr>
        <w:spacing w:after="0" w:line="240" w:lineRule="auto"/>
        <w:jc w:val="center"/>
        <w:rPr>
          <w:b/>
          <w:bCs/>
          <w:color w:val="000000" w:themeColor="text1"/>
          <w:sz w:val="23"/>
          <w:szCs w:val="23"/>
        </w:rPr>
      </w:pPr>
    </w:p>
    <w:p w14:paraId="574DB1F8" w14:textId="77777777" w:rsidR="00D84405" w:rsidRPr="008568CA" w:rsidRDefault="00D84405" w:rsidP="00D84405">
      <w:pPr>
        <w:spacing w:after="0" w:line="240" w:lineRule="auto"/>
        <w:rPr>
          <w:i/>
          <w:iCs/>
          <w:color w:val="0000FF"/>
          <w:sz w:val="28"/>
          <w:szCs w:val="28"/>
          <w:u w:val="single"/>
        </w:rPr>
      </w:pPr>
      <w:r w:rsidRPr="003D200B">
        <w:rPr>
          <w:i/>
          <w:iCs/>
          <w:color w:val="222222"/>
          <w:sz w:val="28"/>
          <w:szCs w:val="28"/>
        </w:rPr>
        <w:t xml:space="preserve">All letters to the Committee and Republican Caucus Consultant shall be submitted electronically through the Position Letter Portal at </w:t>
      </w:r>
      <w:hyperlink r:id="rId8" w:history="1">
        <w:r w:rsidRPr="003D200B">
          <w:rPr>
            <w:rFonts w:cstheme="minorHAnsi"/>
            <w:b/>
            <w:bCs/>
            <w:color w:val="1155CC"/>
            <w:sz w:val="28"/>
            <w:szCs w:val="28"/>
            <w:u w:val="single"/>
            <w:shd w:val="clear" w:color="auto" w:fill="FFFF00"/>
          </w:rPr>
          <w:t>Position Letter Portal</w:t>
        </w:r>
      </w:hyperlink>
      <w:r w:rsidRPr="003D200B">
        <w:rPr>
          <w:rFonts w:cstheme="minorHAnsi"/>
          <w:i/>
          <w:iCs/>
          <w:color w:val="000000"/>
          <w:sz w:val="28"/>
          <w:szCs w:val="28"/>
        </w:rPr>
        <w:t xml:space="preserve">. </w:t>
      </w:r>
    </w:p>
    <w:p w14:paraId="5AB14EAF" w14:textId="77777777" w:rsidR="00D84405" w:rsidRPr="003D200B" w:rsidRDefault="00D84405" w:rsidP="00D84405">
      <w:pPr>
        <w:spacing w:after="0" w:line="240" w:lineRule="auto"/>
        <w:jc w:val="center"/>
        <w:rPr>
          <w:rFonts w:cstheme="minorHAnsi"/>
          <w:i/>
          <w:iCs/>
          <w:color w:val="000000"/>
          <w:sz w:val="28"/>
          <w:szCs w:val="28"/>
        </w:rPr>
      </w:pPr>
    </w:p>
    <w:p w14:paraId="5F247660" w14:textId="77777777" w:rsidR="00D84405" w:rsidRPr="003D200B" w:rsidRDefault="00D84405" w:rsidP="00D84405">
      <w:pPr>
        <w:spacing w:after="0" w:line="240" w:lineRule="auto"/>
        <w:rPr>
          <w:rFonts w:cstheme="minorHAnsi"/>
          <w:color w:val="000000"/>
        </w:rPr>
      </w:pPr>
      <w:r w:rsidRPr="003D200B">
        <w:rPr>
          <w:rFonts w:cstheme="minorHAnsi"/>
          <w:color w:val="000000"/>
          <w:highlight w:val="yellow"/>
        </w:rPr>
        <w:t>PLACE ON LETTER HEAD</w:t>
      </w:r>
    </w:p>
    <w:p w14:paraId="14DE22CF" w14:textId="77777777" w:rsidR="00D84405" w:rsidRPr="003D200B" w:rsidRDefault="00D84405" w:rsidP="00D84405">
      <w:pPr>
        <w:spacing w:after="0" w:line="240" w:lineRule="auto"/>
        <w:rPr>
          <w:rFonts w:cstheme="minorHAnsi"/>
          <w:color w:val="000000"/>
        </w:rPr>
      </w:pPr>
    </w:p>
    <w:p w14:paraId="28EA2230" w14:textId="77777777" w:rsidR="00D84405" w:rsidRPr="003D200B" w:rsidRDefault="00D84405" w:rsidP="00D84405">
      <w:pPr>
        <w:spacing w:after="0" w:line="240" w:lineRule="auto"/>
        <w:rPr>
          <w:rFonts w:cstheme="minorHAnsi"/>
          <w:color w:val="000000"/>
        </w:rPr>
      </w:pPr>
      <w:r w:rsidRPr="003D200B">
        <w:rPr>
          <w:rFonts w:cstheme="minorHAnsi"/>
          <w:color w:val="000000"/>
          <w:highlight w:val="yellow"/>
        </w:rPr>
        <w:t xml:space="preserve"> [DATE]</w:t>
      </w:r>
    </w:p>
    <w:p w14:paraId="392E4DC0" w14:textId="77777777" w:rsidR="00D84405" w:rsidRPr="003D200B" w:rsidRDefault="00D84405" w:rsidP="00D84405">
      <w:pPr>
        <w:spacing w:after="0" w:line="240" w:lineRule="auto"/>
        <w:rPr>
          <w:rFonts w:cstheme="minorHAnsi"/>
          <w:color w:val="000000"/>
        </w:rPr>
      </w:pPr>
    </w:p>
    <w:p w14:paraId="40698F13" w14:textId="77777777" w:rsidR="00D84405" w:rsidRPr="00731B44" w:rsidRDefault="00D84405" w:rsidP="00D84405">
      <w:pPr>
        <w:spacing w:after="0" w:line="240" w:lineRule="auto"/>
        <w:rPr>
          <w:rFonts w:cstheme="minorHAnsi"/>
          <w:color w:val="000000"/>
        </w:rPr>
      </w:pPr>
      <w:r w:rsidRPr="000920FB">
        <w:rPr>
          <w:rFonts w:cstheme="minorHAnsi"/>
          <w:color w:val="000000"/>
        </w:rPr>
        <w:t xml:space="preserve">The Honorable </w:t>
      </w:r>
      <w:r w:rsidRPr="008568CA">
        <w:rPr>
          <w:rFonts w:cstheme="minorHAnsi"/>
          <w:color w:val="000000"/>
          <w:highlight w:val="yellow"/>
        </w:rPr>
        <w:t>[Senator/</w:t>
      </w:r>
      <w:proofErr w:type="spellStart"/>
      <w:r w:rsidRPr="008568CA">
        <w:rPr>
          <w:rFonts w:cstheme="minorHAnsi"/>
          <w:color w:val="000000"/>
          <w:highlight w:val="yellow"/>
        </w:rPr>
        <w:t>Assemblymember</w:t>
      </w:r>
      <w:proofErr w:type="spellEnd"/>
      <w:r w:rsidRPr="008568CA">
        <w:rPr>
          <w:rFonts w:cstheme="minorHAnsi"/>
          <w:color w:val="000000"/>
          <w:highlight w:val="yellow"/>
        </w:rPr>
        <w:t xml:space="preserve"> First Name Last Name]</w:t>
      </w:r>
      <w:r w:rsidRPr="00731B44">
        <w:rPr>
          <w:rFonts w:cstheme="minorHAnsi"/>
          <w:color w:val="000000"/>
        </w:rPr>
        <w:t>, Chair</w:t>
      </w:r>
    </w:p>
    <w:p w14:paraId="2CA29AF4" w14:textId="77777777" w:rsidR="00D84405" w:rsidRPr="00731B44" w:rsidRDefault="00D84405" w:rsidP="00D84405">
      <w:pPr>
        <w:spacing w:after="0" w:line="240" w:lineRule="auto"/>
        <w:rPr>
          <w:rFonts w:cstheme="minorHAnsi"/>
          <w:color w:val="000000"/>
        </w:rPr>
      </w:pPr>
      <w:r w:rsidRPr="008568CA">
        <w:rPr>
          <w:rFonts w:cstheme="minorHAnsi"/>
          <w:color w:val="000000"/>
          <w:highlight w:val="yellow"/>
        </w:rPr>
        <w:t>Senate/Assembly Committee Name</w:t>
      </w:r>
    </w:p>
    <w:p w14:paraId="751F4E51" w14:textId="77777777" w:rsidR="00D84405" w:rsidRPr="00731B44" w:rsidRDefault="00D84405" w:rsidP="00D84405">
      <w:pPr>
        <w:spacing w:after="0" w:line="240" w:lineRule="auto"/>
        <w:rPr>
          <w:rFonts w:cstheme="minorHAnsi"/>
          <w:color w:val="000000"/>
        </w:rPr>
      </w:pPr>
      <w:r w:rsidRPr="008568CA">
        <w:rPr>
          <w:rFonts w:cstheme="minorHAnsi"/>
          <w:color w:val="000000"/>
          <w:highlight w:val="yellow"/>
        </w:rPr>
        <w:t>Street Address, Suite XX</w:t>
      </w:r>
    </w:p>
    <w:p w14:paraId="12C01F5E" w14:textId="79B5D1C2" w:rsidR="00987D66" w:rsidRPr="00D84405" w:rsidRDefault="00D84405" w:rsidP="00D84405">
      <w:pPr>
        <w:spacing w:after="0" w:line="240" w:lineRule="auto"/>
        <w:rPr>
          <w:rFonts w:cstheme="minorHAnsi"/>
          <w:color w:val="000000"/>
        </w:rPr>
      </w:pPr>
      <w:r>
        <w:rPr>
          <w:rFonts w:cstheme="minorHAnsi"/>
          <w:color w:val="000000"/>
        </w:rPr>
        <w:t>Sacramento, CA 95814</w:t>
      </w:r>
    </w:p>
    <w:p w14:paraId="1F73DC29" w14:textId="77777777" w:rsidR="00987D66" w:rsidRDefault="00987D66">
      <w:pPr>
        <w:spacing w:after="0"/>
        <w:rPr>
          <w:color w:val="000000"/>
        </w:rPr>
      </w:pPr>
    </w:p>
    <w:p w14:paraId="0000001F" w14:textId="2BC9FB26" w:rsidR="00832C7C" w:rsidRDefault="00A616E1">
      <w:pPr>
        <w:spacing w:after="0"/>
        <w:rPr>
          <w:b/>
          <w:color w:val="000000"/>
        </w:rPr>
      </w:pPr>
      <w:r>
        <w:rPr>
          <w:b/>
          <w:color w:val="000000"/>
        </w:rPr>
        <w:t xml:space="preserve">Re: AB </w:t>
      </w:r>
      <w:r>
        <w:rPr>
          <w:b/>
        </w:rPr>
        <w:t>310</w:t>
      </w:r>
      <w:r>
        <w:rPr>
          <w:b/>
          <w:color w:val="000000"/>
        </w:rPr>
        <w:t xml:space="preserve"> (</w:t>
      </w:r>
      <w:proofErr w:type="spellStart"/>
      <w:r>
        <w:rPr>
          <w:b/>
          <w:color w:val="000000"/>
        </w:rPr>
        <w:t>Arambula</w:t>
      </w:r>
      <w:proofErr w:type="spellEnd"/>
      <w:r>
        <w:rPr>
          <w:b/>
          <w:color w:val="000000"/>
        </w:rPr>
        <w:t xml:space="preserve">) </w:t>
      </w:r>
      <w:r w:rsidR="00987D66">
        <w:rPr>
          <w:b/>
          <w:color w:val="000000"/>
        </w:rPr>
        <w:t>–</w:t>
      </w:r>
      <w:r w:rsidR="00D84405">
        <w:rPr>
          <w:b/>
          <w:color w:val="000000"/>
        </w:rPr>
        <w:t xml:space="preserve"> </w:t>
      </w:r>
      <w:r>
        <w:rPr>
          <w:b/>
          <w:color w:val="000000"/>
        </w:rPr>
        <w:t xml:space="preserve">Support </w:t>
      </w:r>
      <w:r>
        <w:rPr>
          <w:b/>
        </w:rPr>
        <w:t>to Reimagine</w:t>
      </w:r>
      <w:r>
        <w:rPr>
          <w:b/>
          <w:color w:val="000000"/>
        </w:rPr>
        <w:t xml:space="preserve"> </w:t>
      </w:r>
      <w:r>
        <w:rPr>
          <w:b/>
        </w:rPr>
        <w:t xml:space="preserve">CalWORKs </w:t>
      </w:r>
      <w:r w:rsidR="00D84405">
        <w:rPr>
          <w:b/>
        </w:rPr>
        <w:t>[</w:t>
      </w:r>
      <w:r w:rsidR="00D84405" w:rsidRPr="00D84405">
        <w:rPr>
          <w:b/>
          <w:i/>
          <w:highlight w:val="yellow"/>
        </w:rPr>
        <w:t>if applicable</w:t>
      </w:r>
      <w:r w:rsidR="00D84405" w:rsidRPr="00D84405">
        <w:rPr>
          <w:b/>
          <w:highlight w:val="yellow"/>
        </w:rPr>
        <w:t xml:space="preserve">, “as </w:t>
      </w:r>
      <w:r w:rsidRPr="00D84405">
        <w:rPr>
          <w:b/>
          <w:highlight w:val="yellow"/>
        </w:rPr>
        <w:t xml:space="preserve">Amended </w:t>
      </w:r>
      <w:r w:rsidR="00D84405" w:rsidRPr="00D84405">
        <w:rPr>
          <w:b/>
          <w:highlight w:val="yellow"/>
        </w:rPr>
        <w:t>&lt;date&gt;”</w:t>
      </w:r>
      <w:r w:rsidR="00D84405">
        <w:rPr>
          <w:b/>
        </w:rPr>
        <w:t>]</w:t>
      </w:r>
    </w:p>
    <w:p w14:paraId="00000020" w14:textId="77777777" w:rsidR="00832C7C" w:rsidRDefault="00832C7C">
      <w:pPr>
        <w:spacing w:after="0"/>
        <w:rPr>
          <w:color w:val="000000"/>
        </w:rPr>
      </w:pPr>
    </w:p>
    <w:p w14:paraId="00000021" w14:textId="72CEFB68" w:rsidR="00832C7C" w:rsidRDefault="00A616E1">
      <w:pPr>
        <w:spacing w:after="0"/>
        <w:rPr>
          <w:color w:val="000000"/>
        </w:rPr>
      </w:pPr>
      <w:r>
        <w:rPr>
          <w:color w:val="000000"/>
        </w:rPr>
        <w:t xml:space="preserve">Dear </w:t>
      </w:r>
      <w:r>
        <w:t xml:space="preserve">Chair </w:t>
      </w:r>
      <w:r w:rsidR="00D84405" w:rsidRPr="00D84405">
        <w:rPr>
          <w:highlight w:val="yellow"/>
        </w:rPr>
        <w:t>[Last Name]</w:t>
      </w:r>
      <w:r>
        <w:t>,</w:t>
      </w:r>
    </w:p>
    <w:p w14:paraId="00000022" w14:textId="77777777" w:rsidR="00832C7C" w:rsidRDefault="00832C7C">
      <w:pPr>
        <w:spacing w:after="0"/>
        <w:rPr>
          <w:color w:val="000000"/>
        </w:rPr>
      </w:pPr>
    </w:p>
    <w:p w14:paraId="00000025" w14:textId="19C27C10" w:rsidR="00832C7C" w:rsidRDefault="00D84405" w:rsidP="00987D66">
      <w:pPr>
        <w:jc w:val="both"/>
      </w:pPr>
      <w:r w:rsidRPr="00D84405">
        <w:rPr>
          <w:color w:val="000000"/>
          <w:highlight w:val="yellow"/>
        </w:rPr>
        <w:t>[Insert Organization Name]</w:t>
      </w:r>
      <w:r>
        <w:rPr>
          <w:color w:val="000000"/>
        </w:rPr>
        <w:t xml:space="preserve"> writes</w:t>
      </w:r>
      <w:r w:rsidR="00987D66">
        <w:rPr>
          <w:color w:val="000000"/>
        </w:rPr>
        <w:t xml:space="preserve"> to express our support for </w:t>
      </w:r>
      <w:r w:rsidR="00987D66" w:rsidRPr="00D84405">
        <w:rPr>
          <w:b/>
          <w:color w:val="000000"/>
        </w:rPr>
        <w:t xml:space="preserve">Assembly Bill </w:t>
      </w:r>
      <w:r w:rsidR="00987D66" w:rsidRPr="00D84405">
        <w:rPr>
          <w:b/>
        </w:rPr>
        <w:t>310</w:t>
      </w:r>
      <w:r w:rsidR="00987D66" w:rsidRPr="00D84405">
        <w:rPr>
          <w:b/>
          <w:color w:val="000000"/>
        </w:rPr>
        <w:t xml:space="preserve"> (Arambula)</w:t>
      </w:r>
      <w:r w:rsidR="00987D66">
        <w:rPr>
          <w:color w:val="000000"/>
        </w:rPr>
        <w:t>, a bill that wil</w:t>
      </w:r>
      <w:r w:rsidR="00987D66">
        <w:t xml:space="preserve">l reimagine the CalWORKs (California Work, Opportunity and Responsibility to Kids) program by providing all parents with the critical support they need to ensure economic security for their children and themselves. AB 310 undoes historical harms of the CalWORKs program rooted in racist and sexist federal and state law. </w:t>
      </w:r>
    </w:p>
    <w:p w14:paraId="00000026" w14:textId="77777777" w:rsidR="00832C7C" w:rsidRDefault="00A616E1">
      <w:pPr>
        <w:spacing w:after="0" w:line="240" w:lineRule="auto"/>
        <w:jc w:val="both"/>
      </w:pPr>
      <w:r>
        <w:t xml:space="preserve">In 1996, Congress enacted the Temporary Assistance for Needy Families (TANF) program under the leadership of </w:t>
      </w:r>
      <w:proofErr w:type="spellStart"/>
      <w:r>
        <w:t>then</w:t>
      </w:r>
      <w:proofErr w:type="spellEnd"/>
      <w:r>
        <w:t xml:space="preserve"> House Speaker Newt Gingrich. In 1997, Governor Pete Wilson instituted the Ca</w:t>
      </w:r>
      <w:r>
        <w:t>lWORKs program, the state version of the federal program. With the passage and implementation of both pieces of legislation, there came a foundation for states, including California, to perpetuate racist, sexist, and classist ideas that have dominated safe</w:t>
      </w:r>
      <w:r>
        <w:t>ty net programs since their passage.</w:t>
      </w:r>
      <w:r>
        <w:rPr>
          <w:vertAlign w:val="superscript"/>
        </w:rPr>
        <w:footnoteReference w:id="1"/>
      </w:r>
      <w:r>
        <w:t xml:space="preserve"> </w:t>
      </w:r>
    </w:p>
    <w:p w14:paraId="00000027" w14:textId="77777777" w:rsidR="00832C7C" w:rsidRDefault="00832C7C">
      <w:pPr>
        <w:spacing w:after="0" w:line="240" w:lineRule="auto"/>
        <w:jc w:val="both"/>
      </w:pPr>
    </w:p>
    <w:p w14:paraId="00000028" w14:textId="77777777" w:rsidR="00832C7C" w:rsidRDefault="00A616E1">
      <w:pPr>
        <w:spacing w:after="0" w:line="240" w:lineRule="auto"/>
        <w:jc w:val="both"/>
      </w:pPr>
      <w:r>
        <w:t>Classist and sexist stereotypes of CalWORKs recipients perpetuate narratives that people living in poverty seek to take advantage of public assistance programs. However, CalWORKs participants face significant barrier</w:t>
      </w:r>
      <w:r>
        <w:t>s to economic security and wellbeing such as gender, race, and immigration status-based discrimination in the labor market. This is partly due to welfare-to-work activities addressing barriers to employment that are not fully counted towards the federally-</w:t>
      </w:r>
      <w:r>
        <w:t>defined workforce participation rate (WPR), such as completion of a secondary school program and domestic violence services.</w:t>
      </w:r>
      <w:r>
        <w:rPr>
          <w:vertAlign w:val="superscript"/>
        </w:rPr>
        <w:footnoteReference w:id="2"/>
      </w:r>
      <w:r>
        <w:t xml:space="preserve"> Racist tropes and stereotypes of Black workers in particular perpetuate narratives that Black people only face issues of unemploym</w:t>
      </w:r>
      <w:r>
        <w:t>ent. However, the larger employment crisis the majority of Black workers face is access to quality jobs with fair wages and safe working conditions.</w:t>
      </w:r>
      <w:r>
        <w:rPr>
          <w:vertAlign w:val="superscript"/>
        </w:rPr>
        <w:footnoteReference w:id="3"/>
      </w:r>
      <w:r>
        <w:t xml:space="preserve"> </w:t>
      </w:r>
    </w:p>
    <w:p w14:paraId="00000029" w14:textId="77777777" w:rsidR="00832C7C" w:rsidRDefault="00832C7C">
      <w:pPr>
        <w:spacing w:after="0" w:line="240" w:lineRule="auto"/>
        <w:jc w:val="both"/>
      </w:pPr>
    </w:p>
    <w:p w14:paraId="0000002A" w14:textId="77777777" w:rsidR="00832C7C" w:rsidRDefault="00A616E1">
      <w:pPr>
        <w:spacing w:after="0" w:line="240" w:lineRule="auto"/>
        <w:jc w:val="both"/>
      </w:pPr>
      <w:r>
        <w:lastRenderedPageBreak/>
        <w:t>While California has made strides to remove barriers to the CalWORKs program, the program remains deeply</w:t>
      </w:r>
      <w:r>
        <w:t xml:space="preserve"> flawed as a product of federal law and its own history of racist welfare legislation. Indeed, we must reimagine CalWORKs in order to fulfill prior efforts such as Cal-OAR and CalWORKs 2.0 and fully center the program on family’s needs and well-being.</w:t>
      </w:r>
    </w:p>
    <w:p w14:paraId="0000002B" w14:textId="77777777" w:rsidR="00832C7C" w:rsidRDefault="00832C7C">
      <w:pPr>
        <w:spacing w:after="0" w:line="240" w:lineRule="auto"/>
        <w:jc w:val="both"/>
      </w:pPr>
    </w:p>
    <w:p w14:paraId="0000002C" w14:textId="77777777" w:rsidR="00832C7C" w:rsidRDefault="00A616E1">
      <w:pPr>
        <w:jc w:val="both"/>
      </w:pPr>
      <w:r>
        <w:t xml:space="preserve">AB </w:t>
      </w:r>
      <w:r>
        <w:t>310 undoes these historical harms through several critical reforms, including to:</w:t>
      </w:r>
    </w:p>
    <w:p w14:paraId="0000002D" w14:textId="77777777" w:rsidR="00832C7C" w:rsidRDefault="00A616E1">
      <w:pPr>
        <w:numPr>
          <w:ilvl w:val="0"/>
          <w:numId w:val="1"/>
        </w:numPr>
        <w:spacing w:after="0"/>
        <w:jc w:val="both"/>
      </w:pPr>
      <w:r>
        <w:t>Eliminate or reduce sanctions to federal minimums - ensuring parents have the income to afford critical necessities like food, rent, utilities, and school supplies</w:t>
      </w:r>
    </w:p>
    <w:p w14:paraId="0000002E" w14:textId="77777777" w:rsidR="00832C7C" w:rsidRDefault="00A616E1">
      <w:pPr>
        <w:numPr>
          <w:ilvl w:val="0"/>
          <w:numId w:val="1"/>
        </w:numPr>
        <w:spacing w:after="0"/>
        <w:jc w:val="both"/>
      </w:pPr>
      <w:r>
        <w:t>Shift CalW</w:t>
      </w:r>
      <w:r>
        <w:t>ORKs’ rigid work-first focus only on adults to a “family assistance” model enabling counties to quickly offer supports tailored to parents and children</w:t>
      </w:r>
    </w:p>
    <w:p w14:paraId="0000002F" w14:textId="77777777" w:rsidR="00832C7C" w:rsidRDefault="00A616E1">
      <w:pPr>
        <w:numPr>
          <w:ilvl w:val="0"/>
          <w:numId w:val="1"/>
        </w:numPr>
        <w:spacing w:after="0"/>
        <w:jc w:val="both"/>
      </w:pPr>
      <w:r>
        <w:t>Move from a punitive, compliance approach to a process that respects and meets family’s needs</w:t>
      </w:r>
    </w:p>
    <w:p w14:paraId="00000030" w14:textId="77777777" w:rsidR="00832C7C" w:rsidRDefault="00A616E1">
      <w:pPr>
        <w:numPr>
          <w:ilvl w:val="0"/>
          <w:numId w:val="1"/>
        </w:numPr>
        <w:spacing w:after="0"/>
        <w:jc w:val="both"/>
      </w:pPr>
      <w:r>
        <w:t>Expand wor</w:t>
      </w:r>
      <w:r>
        <w:t>k activities to include a wide variety of anti-poverty related activities necessary for families in crisis; and</w:t>
      </w:r>
    </w:p>
    <w:p w14:paraId="00000031" w14:textId="48B499A4" w:rsidR="00832C7C" w:rsidRDefault="00A616E1">
      <w:pPr>
        <w:numPr>
          <w:ilvl w:val="0"/>
          <w:numId w:val="1"/>
        </w:numPr>
        <w:spacing w:after="0"/>
        <w:jc w:val="both"/>
      </w:pPr>
      <w:r>
        <w:t xml:space="preserve">Eliminate the Work Participation Rate pass-through to remove the specter of financial penalty on counties and make clear that family well-being </w:t>
      </w:r>
      <w:r>
        <w:t>and long-term success are the program’s guiding goals</w:t>
      </w:r>
    </w:p>
    <w:p w14:paraId="00000032" w14:textId="77777777" w:rsidR="00832C7C" w:rsidRDefault="00832C7C">
      <w:pPr>
        <w:jc w:val="both"/>
      </w:pPr>
    </w:p>
    <w:p w14:paraId="00000033" w14:textId="77777777" w:rsidR="00832C7C" w:rsidRDefault="00A616E1">
      <w:pPr>
        <w:jc w:val="both"/>
      </w:pPr>
      <w:r>
        <w:t>AB 310 makes long-overdue changes necessary to undo the real stigma and suffering CalWORKs parents continue to report, and fundamentally move the program to reflect anti-racist values and drive family-</w:t>
      </w:r>
      <w:r>
        <w:t>centered outcomes. For these reasons, we ask that you support and vote “</w:t>
      </w:r>
      <w:r>
        <w:rPr>
          <w:b/>
        </w:rPr>
        <w:t>AYE</w:t>
      </w:r>
      <w:r>
        <w:t xml:space="preserve">” on </w:t>
      </w:r>
      <w:r w:rsidRPr="00D84405">
        <w:rPr>
          <w:b/>
        </w:rPr>
        <w:t>Assembly Bill 310 (Arambula)</w:t>
      </w:r>
      <w:r>
        <w:t>.</w:t>
      </w:r>
    </w:p>
    <w:p w14:paraId="00000034" w14:textId="551E219E" w:rsidR="00832C7C" w:rsidRDefault="00A616E1">
      <w:pPr>
        <w:spacing w:after="0" w:line="240" w:lineRule="auto"/>
        <w:jc w:val="both"/>
      </w:pPr>
      <w:r>
        <w:t>Sincerely,</w:t>
      </w:r>
    </w:p>
    <w:p w14:paraId="7FFC7FE3" w14:textId="14C33156" w:rsidR="00D84405" w:rsidRDefault="00D84405">
      <w:pPr>
        <w:spacing w:after="0" w:line="240" w:lineRule="auto"/>
        <w:jc w:val="both"/>
      </w:pPr>
    </w:p>
    <w:p w14:paraId="1F486C1D" w14:textId="126240AE" w:rsidR="00D84405" w:rsidRPr="00D84405" w:rsidRDefault="00D84405">
      <w:pPr>
        <w:spacing w:after="0" w:line="240" w:lineRule="auto"/>
        <w:jc w:val="both"/>
        <w:rPr>
          <w:highlight w:val="yellow"/>
        </w:rPr>
      </w:pPr>
      <w:r w:rsidRPr="00D84405">
        <w:rPr>
          <w:highlight w:val="yellow"/>
        </w:rPr>
        <w:t>&lt;INSERT SIGNATURE BLOCK&gt;</w:t>
      </w:r>
    </w:p>
    <w:p w14:paraId="0000003A" w14:textId="318A5D78" w:rsidR="00832C7C" w:rsidRPr="00D84405" w:rsidRDefault="00D84405" w:rsidP="00D84405">
      <w:pPr>
        <w:spacing w:after="0" w:line="240" w:lineRule="auto"/>
        <w:jc w:val="both"/>
        <w:rPr>
          <w:highlight w:val="yellow"/>
        </w:rPr>
      </w:pPr>
      <w:r w:rsidRPr="00D84405">
        <w:rPr>
          <w:highlight w:val="yellow"/>
        </w:rPr>
        <w:t>&lt;FULL NAME&gt;</w:t>
      </w:r>
    </w:p>
    <w:p w14:paraId="3EEC4EBE" w14:textId="0CC3E1E9" w:rsidR="00987D66" w:rsidRDefault="00D84405" w:rsidP="00D84405">
      <w:pPr>
        <w:spacing w:after="0" w:line="240" w:lineRule="auto"/>
        <w:jc w:val="both"/>
      </w:pPr>
      <w:r w:rsidRPr="00D84405">
        <w:rPr>
          <w:highlight w:val="yellow"/>
        </w:rPr>
        <w:t>&lt;TITLE&gt;</w:t>
      </w:r>
    </w:p>
    <w:p w14:paraId="295F64C3" w14:textId="77777777" w:rsidR="00987D66" w:rsidRDefault="00987D66">
      <w:pPr>
        <w:spacing w:after="0"/>
        <w:jc w:val="both"/>
      </w:pPr>
    </w:p>
    <w:p w14:paraId="0000003B" w14:textId="4D272EA4" w:rsidR="00D84405" w:rsidRDefault="00D84405" w:rsidP="00D84405">
      <w:pPr>
        <w:spacing w:after="0"/>
        <w:jc w:val="both"/>
      </w:pPr>
      <w:bookmarkStart w:id="0" w:name="_heading=h.gjdgxs" w:colFirst="0" w:colLast="0"/>
      <w:bookmarkEnd w:id="0"/>
      <w:r w:rsidRPr="00D84405">
        <w:rPr>
          <w:highlight w:val="yellow"/>
        </w:rPr>
        <w:t>Cc: Applicable Members / Senators</w:t>
      </w:r>
    </w:p>
    <w:p w14:paraId="733531A7" w14:textId="758444B8" w:rsidR="00D84405" w:rsidRDefault="00D84405" w:rsidP="00D84405">
      <w:pPr>
        <w:tabs>
          <w:tab w:val="left" w:pos="360"/>
        </w:tabs>
        <w:spacing w:after="0"/>
        <w:jc w:val="both"/>
      </w:pPr>
      <w:r>
        <w:tab/>
      </w:r>
      <w:r w:rsidRPr="00D84405">
        <w:rPr>
          <w:highlight w:val="yellow"/>
        </w:rPr>
        <w:t>Bill Sponsors</w:t>
      </w:r>
    </w:p>
    <w:p w14:paraId="6E4D3057" w14:textId="3AC6A4FD" w:rsidR="00D84405" w:rsidRDefault="00D84405" w:rsidP="00D84405">
      <w:pPr>
        <w:tabs>
          <w:tab w:val="left" w:pos="360"/>
        </w:tabs>
        <w:spacing w:after="0"/>
        <w:jc w:val="both"/>
      </w:pPr>
      <w:r>
        <w:tab/>
      </w:r>
      <w:bookmarkStart w:id="1" w:name="_GoBack"/>
      <w:bookmarkEnd w:id="1"/>
      <w:r w:rsidRPr="00D84405">
        <w:rPr>
          <w:highlight w:val="yellow"/>
        </w:rPr>
        <w:t>Author office / Staff</w:t>
      </w:r>
    </w:p>
    <w:p w14:paraId="0000003E" w14:textId="6361D54D" w:rsidR="00832C7C" w:rsidRDefault="00832C7C">
      <w:pPr>
        <w:spacing w:after="0"/>
        <w:jc w:val="both"/>
      </w:pPr>
    </w:p>
    <w:sectPr w:rsidR="00832C7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08" w:bottom="144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F793C" w14:textId="77777777" w:rsidR="00A616E1" w:rsidRDefault="00A616E1">
      <w:pPr>
        <w:spacing w:after="0" w:line="240" w:lineRule="auto"/>
      </w:pPr>
      <w:r>
        <w:separator/>
      </w:r>
    </w:p>
  </w:endnote>
  <w:endnote w:type="continuationSeparator" w:id="0">
    <w:p w14:paraId="31C320AB" w14:textId="77777777" w:rsidR="00A616E1" w:rsidRDefault="00A61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altName w:val="Calibri"/>
    <w:charset w:val="00"/>
    <w:family w:val="swiss"/>
    <w:pitch w:val="variable"/>
    <w:sig w:usb0="00000001" w:usb1="5000ECFF" w:usb2="00000021" w:usb3="00000000" w:csb0="0000019F" w:csb1="00000000"/>
  </w:font>
  <w:font w:name="Lato">
    <w:altName w:val="Calibri"/>
    <w:charset w:val="00"/>
    <w:family w:val="swiss"/>
    <w:pitch w:val="variable"/>
    <w:sig w:usb0="00000001"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832C7C" w:rsidRDefault="00832C7C">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832C7C" w:rsidRDefault="00832C7C">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832C7C" w:rsidRDefault="00832C7C">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0E869" w14:textId="77777777" w:rsidR="00A616E1" w:rsidRDefault="00A616E1">
      <w:pPr>
        <w:spacing w:after="0" w:line="240" w:lineRule="auto"/>
      </w:pPr>
      <w:r>
        <w:separator/>
      </w:r>
    </w:p>
  </w:footnote>
  <w:footnote w:type="continuationSeparator" w:id="0">
    <w:p w14:paraId="75475AA7" w14:textId="77777777" w:rsidR="00A616E1" w:rsidRDefault="00A616E1">
      <w:pPr>
        <w:spacing w:after="0" w:line="240" w:lineRule="auto"/>
      </w:pPr>
      <w:r>
        <w:continuationSeparator/>
      </w:r>
    </w:p>
  </w:footnote>
  <w:footnote w:id="1">
    <w:p w14:paraId="00000045" w14:textId="77777777" w:rsidR="00832C7C" w:rsidRDefault="00A616E1">
      <w:pPr>
        <w:spacing w:after="0"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For more on TANF’s racist history, see Elisa </w:t>
      </w:r>
      <w:proofErr w:type="spellStart"/>
      <w:r>
        <w:rPr>
          <w:rFonts w:ascii="Calibri" w:eastAsia="Calibri" w:hAnsi="Calibri" w:cs="Calibri"/>
          <w:sz w:val="18"/>
          <w:szCs w:val="18"/>
        </w:rPr>
        <w:t>Minoff</w:t>
      </w:r>
      <w:proofErr w:type="spellEnd"/>
      <w:r>
        <w:rPr>
          <w:rFonts w:ascii="Calibri" w:eastAsia="Calibri" w:hAnsi="Calibri" w:cs="Calibri"/>
          <w:sz w:val="18"/>
          <w:szCs w:val="18"/>
        </w:rPr>
        <w:t>, “</w:t>
      </w:r>
      <w:hyperlink r:id="rId1">
        <w:r>
          <w:rPr>
            <w:rFonts w:ascii="Calibri" w:eastAsia="Calibri" w:hAnsi="Calibri" w:cs="Calibri"/>
            <w:color w:val="1155CC"/>
            <w:sz w:val="18"/>
            <w:szCs w:val="18"/>
            <w:u w:val="single"/>
          </w:rPr>
          <w:t>The Racist Roots of Work Requirements</w:t>
        </w:r>
      </w:hyperlink>
      <w:r>
        <w:rPr>
          <w:rFonts w:ascii="Calibri" w:eastAsia="Calibri" w:hAnsi="Calibri" w:cs="Calibri"/>
          <w:sz w:val="18"/>
          <w:szCs w:val="18"/>
        </w:rPr>
        <w:t xml:space="preserve">,” Center for the Study of Social Policy, February 2020; and Ali </w:t>
      </w:r>
      <w:proofErr w:type="spellStart"/>
      <w:r>
        <w:rPr>
          <w:rFonts w:ascii="Calibri" w:eastAsia="Calibri" w:hAnsi="Calibri" w:cs="Calibri"/>
          <w:sz w:val="18"/>
          <w:szCs w:val="18"/>
        </w:rPr>
        <w:t>Safawi</w:t>
      </w:r>
      <w:proofErr w:type="spellEnd"/>
      <w:r>
        <w:rPr>
          <w:rFonts w:ascii="Calibri" w:eastAsia="Calibri" w:hAnsi="Calibri" w:cs="Calibri"/>
          <w:sz w:val="18"/>
          <w:szCs w:val="18"/>
        </w:rPr>
        <w:t xml:space="preserve"> and </w:t>
      </w:r>
      <w:proofErr w:type="spellStart"/>
      <w:r>
        <w:rPr>
          <w:rFonts w:ascii="Calibri" w:eastAsia="Calibri" w:hAnsi="Calibri" w:cs="Calibri"/>
          <w:sz w:val="18"/>
          <w:szCs w:val="18"/>
        </w:rPr>
        <w:t>LaDonna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Pavetti</w:t>
      </w:r>
      <w:proofErr w:type="spellEnd"/>
      <w:r>
        <w:rPr>
          <w:rFonts w:ascii="Calibri" w:eastAsia="Calibri" w:hAnsi="Calibri" w:cs="Calibri"/>
          <w:sz w:val="18"/>
          <w:szCs w:val="18"/>
        </w:rPr>
        <w:t>, “</w:t>
      </w:r>
      <w:hyperlink r:id="rId2">
        <w:r>
          <w:rPr>
            <w:rFonts w:ascii="Calibri" w:eastAsia="Calibri" w:hAnsi="Calibri" w:cs="Calibri"/>
            <w:color w:val="1155CC"/>
            <w:sz w:val="18"/>
            <w:szCs w:val="18"/>
            <w:u w:val="single"/>
          </w:rPr>
          <w:t>States Have Flexibility to Move TANF Work Programs in an Antiracist Direction</w:t>
        </w:r>
      </w:hyperlink>
      <w:r>
        <w:rPr>
          <w:rFonts w:ascii="Calibri" w:eastAsia="Calibri" w:hAnsi="Calibri" w:cs="Calibri"/>
          <w:sz w:val="18"/>
          <w:szCs w:val="18"/>
        </w:rPr>
        <w:t xml:space="preserve">,” CBPP, April 21, 2022; and Ife Floyd and </w:t>
      </w:r>
      <w:proofErr w:type="spellStart"/>
      <w:r>
        <w:rPr>
          <w:rFonts w:ascii="Calibri" w:eastAsia="Calibri" w:hAnsi="Calibri" w:cs="Calibri"/>
          <w:sz w:val="18"/>
          <w:szCs w:val="18"/>
        </w:rPr>
        <w:t>LaDonna</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Pavetti</w:t>
      </w:r>
      <w:proofErr w:type="spellEnd"/>
      <w:r>
        <w:rPr>
          <w:rFonts w:ascii="Calibri" w:eastAsia="Calibri" w:hAnsi="Calibri" w:cs="Calibri"/>
          <w:sz w:val="18"/>
          <w:szCs w:val="18"/>
        </w:rPr>
        <w:t>, “</w:t>
      </w:r>
      <w:hyperlink r:id="rId3">
        <w:r>
          <w:rPr>
            <w:rFonts w:ascii="Calibri" w:eastAsia="Calibri" w:hAnsi="Calibri" w:cs="Calibri"/>
            <w:color w:val="1155CC"/>
            <w:sz w:val="18"/>
            <w:szCs w:val="18"/>
            <w:u w:val="single"/>
          </w:rPr>
          <w:t xml:space="preserve">Improvements </w:t>
        </w:r>
        <w:r>
          <w:rPr>
            <w:rFonts w:ascii="Calibri" w:eastAsia="Calibri" w:hAnsi="Calibri" w:cs="Calibri"/>
            <w:color w:val="1155CC"/>
            <w:sz w:val="18"/>
            <w:szCs w:val="18"/>
            <w:u w:val="single"/>
          </w:rPr>
          <w:t>in TANF Cash benefits Needed to Undo the Legacy of Historical Racism</w:t>
        </w:r>
      </w:hyperlink>
      <w:r>
        <w:rPr>
          <w:rFonts w:ascii="Calibri" w:eastAsia="Calibri" w:hAnsi="Calibri" w:cs="Calibri"/>
          <w:sz w:val="18"/>
          <w:szCs w:val="18"/>
        </w:rPr>
        <w:t>,” CBPP, January 26, 2022.</w:t>
      </w:r>
    </w:p>
  </w:footnote>
  <w:footnote w:id="2">
    <w:p w14:paraId="00000046" w14:textId="77777777" w:rsidR="00832C7C" w:rsidRDefault="00A616E1">
      <w:pPr>
        <w:spacing w:after="0"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For more on CalWORKs WPR, see Sara Kimberlin, “</w:t>
      </w:r>
      <w:hyperlink r:id="rId4">
        <w:r>
          <w:rPr>
            <w:rFonts w:ascii="Calibri" w:eastAsia="Calibri" w:hAnsi="Calibri" w:cs="Calibri"/>
            <w:color w:val="1155CC"/>
            <w:sz w:val="18"/>
            <w:szCs w:val="18"/>
            <w:u w:val="single"/>
          </w:rPr>
          <w:t>Harmful Obstacles: CalWORKs Work Participation Rate (WPR) Penalty</w:t>
        </w:r>
      </w:hyperlink>
      <w:r>
        <w:rPr>
          <w:rFonts w:ascii="Calibri" w:eastAsia="Calibri" w:hAnsi="Calibri" w:cs="Calibri"/>
          <w:sz w:val="18"/>
          <w:szCs w:val="18"/>
        </w:rPr>
        <w:t xml:space="preserve">,” California Budget &amp; Policy Center, February 2023, and </w:t>
      </w:r>
      <w:proofErr w:type="spellStart"/>
      <w:r>
        <w:rPr>
          <w:rFonts w:ascii="Calibri" w:eastAsia="Calibri" w:hAnsi="Calibri" w:cs="Calibri"/>
          <w:sz w:val="18"/>
          <w:szCs w:val="18"/>
        </w:rPr>
        <w:t>Esi</w:t>
      </w:r>
      <w:proofErr w:type="spellEnd"/>
      <w:r>
        <w:rPr>
          <w:rFonts w:ascii="Calibri" w:eastAsia="Calibri" w:hAnsi="Calibri" w:cs="Calibri"/>
          <w:sz w:val="18"/>
          <w:szCs w:val="18"/>
        </w:rPr>
        <w:t xml:space="preserve"> </w:t>
      </w:r>
      <w:proofErr w:type="spellStart"/>
      <w:r>
        <w:rPr>
          <w:rFonts w:ascii="Calibri" w:eastAsia="Calibri" w:hAnsi="Calibri" w:cs="Calibri"/>
          <w:sz w:val="18"/>
          <w:szCs w:val="18"/>
        </w:rPr>
        <w:t>Hutchful</w:t>
      </w:r>
      <w:proofErr w:type="spellEnd"/>
      <w:r>
        <w:rPr>
          <w:rFonts w:ascii="Calibri" w:eastAsia="Calibri" w:hAnsi="Calibri" w:cs="Calibri"/>
          <w:sz w:val="18"/>
          <w:szCs w:val="18"/>
        </w:rPr>
        <w:t>, “</w:t>
      </w:r>
      <w:hyperlink r:id="rId5">
        <w:r>
          <w:rPr>
            <w:rFonts w:ascii="Calibri" w:eastAsia="Calibri" w:hAnsi="Calibri" w:cs="Calibri"/>
            <w:color w:val="1155CC"/>
            <w:sz w:val="18"/>
            <w:szCs w:val="18"/>
            <w:u w:val="single"/>
          </w:rPr>
          <w:t>Undercutting the Needs o</w:t>
        </w:r>
        <w:r>
          <w:rPr>
            <w:rFonts w:ascii="Calibri" w:eastAsia="Calibri" w:hAnsi="Calibri" w:cs="Calibri"/>
            <w:color w:val="1155CC"/>
            <w:sz w:val="18"/>
            <w:szCs w:val="18"/>
            <w:u w:val="single"/>
          </w:rPr>
          <w:t>f California Families: The Harm of Racist, Sexist Work Requirements &amp; Penalties in CalWORKs</w:t>
        </w:r>
      </w:hyperlink>
      <w:r>
        <w:rPr>
          <w:rFonts w:ascii="Calibri" w:eastAsia="Calibri" w:hAnsi="Calibri" w:cs="Calibri"/>
          <w:sz w:val="18"/>
          <w:szCs w:val="18"/>
        </w:rPr>
        <w:t xml:space="preserve">,” California Budget &amp; Policy Center, March 2022. </w:t>
      </w:r>
    </w:p>
  </w:footnote>
  <w:footnote w:id="3">
    <w:p w14:paraId="00000047" w14:textId="77777777" w:rsidR="00832C7C" w:rsidRDefault="00A616E1">
      <w:pPr>
        <w:spacing w:after="0" w:line="240" w:lineRule="auto"/>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Fine, J., Burnham, L., Griffith, K., Ji, M., </w:t>
      </w:r>
      <w:proofErr w:type="spellStart"/>
      <w:r>
        <w:rPr>
          <w:rFonts w:ascii="Calibri" w:eastAsia="Calibri" w:hAnsi="Calibri" w:cs="Calibri"/>
          <w:sz w:val="18"/>
          <w:szCs w:val="18"/>
        </w:rPr>
        <w:t>Narro</w:t>
      </w:r>
      <w:proofErr w:type="spellEnd"/>
      <w:r>
        <w:rPr>
          <w:rFonts w:ascii="Calibri" w:eastAsia="Calibri" w:hAnsi="Calibri" w:cs="Calibri"/>
          <w:sz w:val="18"/>
          <w:szCs w:val="18"/>
        </w:rPr>
        <w:t>, V., Pitts, S. (2018). The National Black Worker Center Proje</w:t>
      </w:r>
      <w:r>
        <w:rPr>
          <w:rFonts w:ascii="Calibri" w:eastAsia="Calibri" w:hAnsi="Calibri" w:cs="Calibri"/>
          <w:sz w:val="18"/>
          <w:szCs w:val="18"/>
        </w:rPr>
        <w:t xml:space="preserve">ct: Grappling with the Power-Building Imperative. Pitts, S. (Eds.), </w:t>
      </w:r>
      <w:r>
        <w:rPr>
          <w:rFonts w:ascii="Calibri" w:eastAsia="Calibri" w:hAnsi="Calibri" w:cs="Calibri"/>
          <w:i/>
          <w:sz w:val="18"/>
          <w:szCs w:val="18"/>
        </w:rPr>
        <w:t>No one size fits all: Worker organization, policy, and movement in a new economic age</w:t>
      </w:r>
      <w:r>
        <w:rPr>
          <w:rFonts w:ascii="Calibri" w:eastAsia="Calibri" w:hAnsi="Calibri" w:cs="Calibri"/>
          <w:sz w:val="18"/>
          <w:szCs w:val="18"/>
        </w:rPr>
        <w:t xml:space="preserve"> (pp. 115-137). Labor and Employment Research Association.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832C7C" w:rsidRDefault="00832C7C">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4" w14:textId="77777777" w:rsidR="00832C7C" w:rsidRDefault="00832C7C">
    <w:pPr>
      <w:rPr>
        <w:highlight w:val="yellow"/>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77777777" w:rsidR="00832C7C" w:rsidRDefault="00832C7C">
    <w:pPr>
      <w:rPr>
        <w:rFonts w:ascii="Calibri" w:eastAsia="Calibri" w:hAnsi="Calibri" w:cs="Calibri"/>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7FF1"/>
    <w:multiLevelType w:val="multilevel"/>
    <w:tmpl w:val="4B602F2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7508D"/>
    <w:multiLevelType w:val="multilevel"/>
    <w:tmpl w:val="F306E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7C"/>
    <w:rsid w:val="001D4982"/>
    <w:rsid w:val="003E457F"/>
    <w:rsid w:val="004D69B2"/>
    <w:rsid w:val="00782F05"/>
    <w:rsid w:val="00832C7C"/>
    <w:rsid w:val="00864E9F"/>
    <w:rsid w:val="008C1C01"/>
    <w:rsid w:val="00987D66"/>
    <w:rsid w:val="00A17BBD"/>
    <w:rsid w:val="00A616E1"/>
    <w:rsid w:val="00D84405"/>
    <w:rsid w:val="00DD0507"/>
    <w:rsid w:val="00F2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EB60"/>
  <w15:docId w15:val="{C0F770F6-F666-3044-A34D-FD3CF3C3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Lato Black" w:eastAsia="Lato Black" w:hAnsi="Lato Black" w:cs="Lato Black"/>
      <w:color w:val="F38B00"/>
      <w:sz w:val="48"/>
      <w:szCs w:val="48"/>
    </w:rPr>
  </w:style>
  <w:style w:type="paragraph" w:styleId="Heading2">
    <w:name w:val="heading 2"/>
    <w:basedOn w:val="Normal"/>
    <w:next w:val="Normal"/>
    <w:uiPriority w:val="9"/>
    <w:semiHidden/>
    <w:unhideWhenUsed/>
    <w:qFormat/>
    <w:pPr>
      <w:keepNext/>
      <w:keepLines/>
      <w:spacing w:before="360" w:after="0"/>
      <w:outlineLvl w:val="1"/>
    </w:pPr>
    <w:rPr>
      <w:rFonts w:ascii="Lato" w:eastAsia="Lato" w:hAnsi="Lato" w:cs="Lato"/>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after="120"/>
      <w:jc w:val="center"/>
    </w:pPr>
    <w:rPr>
      <w:rFonts w:ascii="Lato Black" w:eastAsia="Lato Black" w:hAnsi="Lato Black" w:cs="Lato Black"/>
      <w:color w:val="F38B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3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D19"/>
  </w:style>
  <w:style w:type="character" w:styleId="Hyperlink">
    <w:name w:val="Hyperlink"/>
    <w:rsid w:val="00451C3D"/>
    <w:rPr>
      <w:u w:val="single"/>
    </w:rPr>
  </w:style>
  <w:style w:type="paragraph" w:styleId="ListParagraph">
    <w:name w:val="List Paragraph"/>
    <w:basedOn w:val="Normal"/>
    <w:uiPriority w:val="34"/>
    <w:qFormat/>
    <w:rsid w:val="00451C3D"/>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pp.org/sites/default/files/1-26-22tanf.pdf" TargetMode="External"/><Relationship Id="rId2" Type="http://schemas.openxmlformats.org/officeDocument/2006/relationships/hyperlink" Target="https://www.cbpp.org/sites/default/files/4-21-22tanf.pdf" TargetMode="External"/><Relationship Id="rId1" Type="http://schemas.openxmlformats.org/officeDocument/2006/relationships/hyperlink" Target="https://cssp.org/resource/racist-roots-of-work-requirements/" TargetMode="External"/><Relationship Id="rId5" Type="http://schemas.openxmlformats.org/officeDocument/2006/relationships/hyperlink" Target="https://calbudgetcenter.org/app/uploads/2022/03/IB-FP-CalWorks.pdf" TargetMode="External"/><Relationship Id="rId4" Type="http://schemas.openxmlformats.org/officeDocument/2006/relationships/hyperlink" Target="https://calbudgetcenter.org/resources/harmful-obstacles-calworks-work-participation-rate-wpr-pena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dpgJuYfBTZm7TboM1GSj+H7NrQ==">AMUW2mVGGbeF7Tyo/ZBULylMD764GF61T4zsZ4wjMkp9hop3FUi/kYL1c0CM+pkcrI4ByHEEb4R3c5HhftlgHjkZyc/zXdCF8fKlH58wxe1jazWbnd0lx2SQ+k3Z2G5RW+lPEJSdq/Ss9rO1K2xJOSBkOc4ROFepRhGheGMMtqsBIxJiCYD68Ag=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3427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Grace</cp:lastModifiedBy>
  <cp:revision>2</cp:revision>
  <dcterms:created xsi:type="dcterms:W3CDTF">2023-05-15T18:27:00Z</dcterms:created>
  <dcterms:modified xsi:type="dcterms:W3CDTF">2023-05-15T18:27:00Z</dcterms:modified>
</cp:coreProperties>
</file>